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Century Gothic" w:cs="Century Gothic" w:eastAsia="Century Gothic" w:hAnsi="Century Gothic"/>
          <w:b w:val="1"/>
          <w:color w:val="00a1bc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a1bc"/>
          <w:sz w:val="28"/>
          <w:szCs w:val="28"/>
          <w:highlight w:val="white"/>
          <w:u w:val="single"/>
          <w:rtl w:val="0"/>
        </w:rPr>
        <w:t xml:space="preserve">TO PROMOTE THE BLUEPRINT ITSELF, AFTER APRIL 2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Century Gothic" w:cs="Century Gothic" w:eastAsia="Century Gothic" w:hAnsi="Century Gothic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Century Gothic" w:cs="Century Gothic" w:eastAsia="Century Gothic" w:hAnsi="Century Gothic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4"/>
          <w:szCs w:val="24"/>
          <w:highlight w:val="white"/>
          <w:rtl w:val="0"/>
        </w:rPr>
        <w:t xml:space="preserve">Note: You can find visuals to use in promotion of the report in the toolkit.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Century Gothic" w:cs="Century Gothic" w:eastAsia="Century Gothic" w:hAnsi="Century Gothic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Century Gothic" w:cs="Century Gothic" w:eastAsia="Century Gothic" w:hAnsi="Century Gothic"/>
          <w:b w:val="1"/>
          <w:i w:val="1"/>
          <w:sz w:val="28"/>
          <w:szCs w:val="2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8"/>
          <w:szCs w:val="28"/>
          <w:highlight w:val="white"/>
          <w:rtl w:val="0"/>
        </w:rPr>
        <w:t xml:space="preserve">Relevant Handles and Hashtags: 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Century Gothic" w:cs="Century Gothic" w:eastAsia="Century Gothic" w:hAnsi="Century Gothic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@ChangeLabWorks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Century Gothic" w:cs="Century Gothic" w:eastAsia="Century Gothic" w:hAnsi="Century Gothic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#EquityBlueprint 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Century Gothic" w:cs="Century Gothic" w:eastAsia="Century Gothic" w:hAnsi="Century Gothic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#HealthEquity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entury Gothic" w:cs="Century Gothic" w:eastAsia="Century Gothic" w:hAnsi="Century Gothic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Century Gothic" w:cs="Century Gothic" w:eastAsia="Century Gothic" w:hAnsi="Century Gothic"/>
          <w:b w:val="1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highlight w:val="white"/>
          <w:rtl w:val="0"/>
        </w:rPr>
        <w:t xml:space="preserve">Twitter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entury Gothic" w:cs="Century Gothic" w:eastAsia="Century Gothic" w:hAnsi="Century Gothic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0" w:firstLine="0"/>
        <w:rPr>
          <w:rFonts w:ascii="Century Gothic" w:cs="Century Gothic" w:eastAsia="Century Gothic" w:hAnsi="Century Gothic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highlight w:val="white"/>
          <w:rtl w:val="0"/>
        </w:rPr>
        <w:t xml:space="preserve">Todos deben tener la misma oportunidad para vivir una vida saludable, pero no todos lo tienen. @ChangeLabWorks ha creado un #EquityBlueprint para cambiar esto. Participa en un seminario breve el martes 2 de abril a las 2 de la tarde EST para aprender mas. </w:t>
      </w:r>
      <w:hyperlink r:id="rId6">
        <w:r w:rsidDel="00000000" w:rsidR="00000000" w:rsidRPr="00000000">
          <w:rPr>
            <w:rFonts w:ascii="Century Gothic" w:cs="Century Gothic" w:eastAsia="Century Gothic" w:hAnsi="Century Gothic"/>
            <w:color w:val="1155cc"/>
            <w:highlight w:val="white"/>
            <w:u w:val="single"/>
            <w:rtl w:val="0"/>
          </w:rPr>
          <w:t xml:space="preserve">https://cc.readytalk.com/r/bq2duv68j7p3&amp;eom</w:t>
        </w:r>
      </w:hyperlink>
      <w:r w:rsidDel="00000000" w:rsidR="00000000" w:rsidRPr="00000000">
        <w:rPr>
          <w:rFonts w:ascii="Century Gothic" w:cs="Century Gothic" w:eastAsia="Century Gothic" w:hAnsi="Century Gothic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.@ChangeLabWorks’ #EquityBlueprint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es un nuevo recurso que presenta las estrategias legales que ayudan los legisladoras, profesionales y comunidades mejorar los resultados de salud. Participa en un seminario breve el  2 de abril para aprender mas.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color w:val="1155cc"/>
            <w:highlight w:val="white"/>
            <w:u w:val="single"/>
            <w:rtl w:val="0"/>
          </w:rPr>
          <w:t xml:space="preserve">https://cc.readytalk.com/r/bq2duv68j7p3&amp;eom</w:t>
        </w:r>
      </w:hyperlink>
      <w:r w:rsidDel="00000000" w:rsidR="00000000" w:rsidRPr="00000000">
        <w:rPr>
          <w:rFonts w:ascii="Century Gothic" w:cs="Century Gothic" w:eastAsia="Century Gothic" w:hAnsi="Century Gothic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Facebook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Century Gothic" w:cs="Century Gothic" w:eastAsia="Century Gothic" w:hAnsi="Century Gothic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highlight w:val="white"/>
          <w:rtl w:val="0"/>
        </w:rPr>
        <w:t xml:space="preserve">Todos deben tener la misma oportunidad para vivir una vida saludable, pero no todos lo tienen. @ChangeLabSolutions ha creado un #EquityBlueprint para cambiar esto. Participa en un seminario breve el martes 2 de abril a las 2 de la tarde (EST) para aprender mas. 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color w:val="1155cc"/>
            <w:highlight w:val="white"/>
            <w:u w:val="single"/>
            <w:rtl w:val="0"/>
          </w:rPr>
          <w:t xml:space="preserve">https://cc.readytalk.com/r/bq2duv68j7p3&amp;eom</w:t>
        </w:r>
      </w:hyperlink>
      <w:r w:rsidDel="00000000" w:rsidR="00000000" w:rsidRPr="00000000">
        <w:rPr>
          <w:rFonts w:ascii="Century Gothic" w:cs="Century Gothic" w:eastAsia="Century Gothic" w:hAnsi="Century Gothic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.@ChangeLabSolutions’ #EquityBlueprint es un nuevo recurso que presenta las estrategias legales que ayudan los legisladoras, profesionales y comunidades mejorar los resultados de salud. Participa en un seminario breve el martes 2 de abril a las 2 de la tarde (EST) para aprender mas. </w:t>
      </w:r>
      <w:hyperlink r:id="rId9">
        <w:r w:rsidDel="00000000" w:rsidR="00000000" w:rsidRPr="00000000">
          <w:rPr>
            <w:rFonts w:ascii="Century Gothic" w:cs="Century Gothic" w:eastAsia="Century Gothic" w:hAnsi="Century Gothic"/>
            <w:color w:val="1155cc"/>
            <w:highlight w:val="white"/>
            <w:u w:val="single"/>
            <w:rtl w:val="0"/>
          </w:rPr>
          <w:t xml:space="preserve">https://cc.readytalk.com/r/bq2duv68j7p3&amp;eom</w:t>
        </w:r>
      </w:hyperlink>
      <w:r w:rsidDel="00000000" w:rsidR="00000000" w:rsidRPr="00000000">
        <w:rPr>
          <w:rFonts w:ascii="Century Gothic" w:cs="Century Gothic" w:eastAsia="Century Gothic" w:hAnsi="Century Gothic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right"/>
      <w:rPr/>
    </w:pPr>
    <w:r w:rsidDel="00000000" w:rsidR="00000000" w:rsidRPr="00000000">
      <w:rPr>
        <w:b w:val="1"/>
        <w:sz w:val="28"/>
        <w:szCs w:val="28"/>
        <w:highlight w:val="white"/>
        <w:u w:val="single"/>
      </w:rPr>
      <w:drawing>
        <wp:inline distB="114300" distT="114300" distL="114300" distR="114300">
          <wp:extent cx="1757363" cy="48071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57363" cy="48071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line="240" w:lineRule="auto"/>
    </w:pPr>
    <w:rPr>
      <w:b w:val="1"/>
      <w:color w:val="38761d"/>
      <w:sz w:val="28"/>
      <w:szCs w:val="28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cc.readytalk.com/r/bq2duv68j7p3&amp;eom" TargetMode="External"/><Relationship Id="rId5" Type="http://schemas.openxmlformats.org/officeDocument/2006/relationships/styles" Target="styles.xml"/><Relationship Id="rId6" Type="http://schemas.openxmlformats.org/officeDocument/2006/relationships/hyperlink" Target="https://cc.readytalk.com/r/bq2duv68j7p3&amp;eom" TargetMode="External"/><Relationship Id="rId7" Type="http://schemas.openxmlformats.org/officeDocument/2006/relationships/hyperlink" Target="https://cc.readytalk.com/r/bq2duv68j7p3&amp;eom" TargetMode="External"/><Relationship Id="rId8" Type="http://schemas.openxmlformats.org/officeDocument/2006/relationships/hyperlink" Target="https://cc.readytalk.com/r/bq2duv68j7p3&amp;e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