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Century Gothic" w:cs="Century Gothic" w:eastAsia="Century Gothic" w:hAnsi="Century Gothic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rFonts w:ascii="Century Gothic" w:cs="Century Gothic" w:eastAsia="Century Gothic" w:hAnsi="Century Gothic"/>
          <w:b w:val="1"/>
          <w:color w:val="00a1b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a1bc"/>
          <w:sz w:val="28"/>
          <w:szCs w:val="28"/>
          <w:highlight w:val="white"/>
          <w:u w:val="single"/>
          <w:rtl w:val="0"/>
        </w:rPr>
        <w:t xml:space="preserve">TO PROMOTE THE LAUNCH WEBINAR, PRIOR TO APRIL 2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a1bc"/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entury Gothic" w:cs="Century Gothic" w:eastAsia="Century Gothic" w:hAnsi="Century Gothic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Century Gothic" w:cs="Century Gothic" w:eastAsia="Century Gothic" w:hAnsi="Century Gothic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8"/>
          <w:szCs w:val="28"/>
          <w:highlight w:val="white"/>
          <w:rtl w:val="0"/>
        </w:rPr>
        <w:t xml:space="preserve">Webinar Promotion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entury Gothic" w:cs="Century Gothic" w:eastAsia="Century Gothic" w:hAnsi="Century Gothic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00"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highlight w:val="white"/>
          <w:rtl w:val="0"/>
        </w:rPr>
        <w:t xml:space="preserve">Subject Line: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WEBINAR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: A Blueprint for Changemakers: Achieving Health Equity Through Law &amp;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00"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Discriminatory laws and policies prevent people from living healthy lives. </w:t>
      </w:r>
    </w:p>
    <w:p w:rsidR="00000000" w:rsidDel="00000000" w:rsidP="00000000" w:rsidRDefault="00000000" w:rsidRPr="00000000" w14:paraId="00000008">
      <w:pPr>
        <w:spacing w:after="300"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On April 2, ChangeLab Solutions will release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i w:val="1"/>
            <w:sz w:val="24"/>
            <w:szCs w:val="24"/>
            <w:highlight w:val="white"/>
            <w:u w:val="single"/>
            <w:rtl w:val="0"/>
          </w:rPr>
          <w:t xml:space="preserve">A Blueprint for Changemakers: Achieving Health Equity Through Law &amp; Policy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 – a new resource that presents legal strategies and best practices to help policymakers, practitioners, and communities improve health outcomes. The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highlight w:val="white"/>
          <w:rtl w:val="0"/>
        </w:rPr>
        <w:t xml:space="preserve">Blueprint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 provides a roadmap for working locally and collaboratively to advance laws and policies that will help ensure that everyone has a fair chance to live a healthy life.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To learn how you can use the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highlight w:val="white"/>
          <w:rtl w:val="0"/>
        </w:rPr>
        <w:t xml:space="preserve">Blueprint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,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sz w:val="24"/>
            <w:szCs w:val="24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entury Gothic" w:cs="Century Gothic" w:eastAsia="Century Gothic" w:hAnsi="Century Gothic"/>
            <w:sz w:val="24"/>
            <w:szCs w:val="24"/>
            <w:highlight w:val="white"/>
            <w:u w:val="single"/>
            <w:rtl w:val="0"/>
          </w:rPr>
          <w:t xml:space="preserve">join ChangeLab Solutions for the Blueprint Launch Webinar on Tuesday, April 2, at 11 a.m. PT / 2 p.m. ET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highlight w:val="white"/>
        <w:u w:val="single"/>
      </w:rPr>
      <w:drawing>
        <wp:inline distB="114300" distT="114300" distL="114300" distR="114300">
          <wp:extent cx="1757363" cy="48071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363" cy="4807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c.readytalk.com/r/bq2duv68j7p3&amp;eom" TargetMode="External"/><Relationship Id="rId7" Type="http://schemas.openxmlformats.org/officeDocument/2006/relationships/hyperlink" Target="https://cc.readytalk.com/r/bq2duv68j7p3&amp;eom" TargetMode="External"/><Relationship Id="rId8" Type="http://schemas.openxmlformats.org/officeDocument/2006/relationships/hyperlink" Target="https://cc.readytalk.com/r/bq2duv68j7p3&amp;e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