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18" w:rsidRDefault="00342718">
      <w:pPr>
        <w:spacing w:line="360" w:lineRule="auto"/>
        <w:rPr>
          <w:rFonts w:ascii="Century Gothic" w:eastAsia="Century Gothic" w:hAnsi="Century Gothic" w:cs="Century Gothic"/>
          <w:sz w:val="24"/>
          <w:szCs w:val="24"/>
          <w:highlight w:val="white"/>
        </w:rPr>
      </w:pP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b/>
          <w:color w:val="00A1BC"/>
          <w:sz w:val="28"/>
          <w:szCs w:val="28"/>
          <w:highlight w:val="white"/>
          <w:u w:val="single"/>
        </w:rPr>
      </w:pPr>
      <w:r>
        <w:rPr>
          <w:rFonts w:ascii="Century Gothic" w:eastAsia="Century Gothic" w:hAnsi="Century Gothic" w:cs="Century Gothic"/>
          <w:b/>
          <w:color w:val="00A1BC"/>
          <w:sz w:val="28"/>
          <w:szCs w:val="28"/>
          <w:highlight w:val="white"/>
          <w:u w:val="single"/>
        </w:rPr>
        <w:t>TO PROMOTE THE BLUEPRINT ITSELF, AFTER APRIL 2</w:t>
      </w:r>
    </w:p>
    <w:p w:rsidR="00342718" w:rsidRDefault="00342718">
      <w:pPr>
        <w:spacing w:line="360" w:lineRule="auto"/>
        <w:rPr>
          <w:rFonts w:ascii="Century Gothic" w:eastAsia="Century Gothic" w:hAnsi="Century Gothic" w:cs="Century Gothic"/>
          <w:i/>
          <w:sz w:val="24"/>
          <w:szCs w:val="24"/>
          <w:highlight w:val="white"/>
        </w:rPr>
      </w:pP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i/>
          <w:sz w:val="24"/>
          <w:szCs w:val="24"/>
          <w:highlight w:val="white"/>
        </w:rPr>
        <w:t xml:space="preserve">Note: You can find visuals to </w:t>
      </w:r>
      <w:r w:rsidR="00FB4961">
        <w:rPr>
          <w:rFonts w:ascii="Century Gothic" w:eastAsia="Century Gothic" w:hAnsi="Century Gothic" w:cs="Century Gothic"/>
          <w:i/>
          <w:sz w:val="24"/>
          <w:szCs w:val="24"/>
          <w:highlight w:val="white"/>
        </w:rPr>
        <w:t>use in promotion of the report i</w:t>
      </w:r>
      <w:bookmarkStart w:id="0" w:name="_GoBack"/>
      <w:bookmarkEnd w:id="0"/>
      <w:r>
        <w:rPr>
          <w:rFonts w:ascii="Century Gothic" w:eastAsia="Century Gothic" w:hAnsi="Century Gothic" w:cs="Century Gothic"/>
          <w:i/>
          <w:sz w:val="24"/>
          <w:szCs w:val="24"/>
          <w:highlight w:val="white"/>
        </w:rPr>
        <w:t>n the toolkit.</w:t>
      </w:r>
    </w:p>
    <w:p w:rsidR="00342718" w:rsidRDefault="00342718">
      <w:pPr>
        <w:spacing w:line="360" w:lineRule="auto"/>
        <w:rPr>
          <w:rFonts w:ascii="Century Gothic" w:eastAsia="Century Gothic" w:hAnsi="Century Gothic" w:cs="Century Gothic"/>
          <w:sz w:val="24"/>
          <w:szCs w:val="24"/>
          <w:highlight w:val="white"/>
        </w:rPr>
      </w:pP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b/>
          <w:sz w:val="28"/>
          <w:szCs w:val="28"/>
          <w:highlight w:val="white"/>
        </w:rPr>
      </w:pPr>
      <w:r>
        <w:rPr>
          <w:rFonts w:ascii="Century Gothic" w:eastAsia="Century Gothic" w:hAnsi="Century Gothic" w:cs="Century Gothic"/>
          <w:b/>
          <w:sz w:val="28"/>
          <w:szCs w:val="28"/>
          <w:highlight w:val="white"/>
        </w:rPr>
        <w:t>Newsletter Promotion of the Blueprint</w:t>
      </w: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b/>
          <w:i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b/>
          <w:i/>
          <w:sz w:val="24"/>
          <w:szCs w:val="24"/>
          <w:highlight w:val="white"/>
        </w:rPr>
        <w:t>Once released, this language can be used by partners to share the Blueprint with their networks via newsletters:</w:t>
      </w:r>
    </w:p>
    <w:p w:rsidR="00342718" w:rsidRDefault="00342718">
      <w:pPr>
        <w:spacing w:line="360" w:lineRule="auto"/>
        <w:rPr>
          <w:rFonts w:ascii="Century Gothic" w:eastAsia="Century Gothic" w:hAnsi="Century Gothic" w:cs="Century Gothic"/>
          <w:sz w:val="24"/>
          <w:szCs w:val="24"/>
          <w:highlight w:val="white"/>
        </w:rPr>
      </w:pP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ChangeLab Solutions and the Robert Wood Johnson Foundation have released a new resource to help policymakers and community members use law and policy to promote health equity in in their community.  </w:t>
      </w: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i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i/>
          <w:sz w:val="24"/>
          <w:szCs w:val="24"/>
          <w:highlight w:val="white"/>
        </w:rPr>
        <w:t xml:space="preserve"> </w:t>
      </w: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i/>
          <w:sz w:val="24"/>
          <w:szCs w:val="24"/>
          <w:highlight w:val="white"/>
        </w:rPr>
        <w:t xml:space="preserve">A Blueprint for Changemakers: Achieving Health Equity Through Law &amp; Policy 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provides policy tools and legal strategies that have proven effective for addressing a range of issues that impact our health, including housing, early childhood development and education, transportation, fair employment, income security, and health care.</w:t>
      </w: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 </w:t>
      </w:r>
    </w:p>
    <w:p w:rsidR="00342718" w:rsidRDefault="00081D37">
      <w:pPr>
        <w:spacing w:line="360" w:lineRule="auto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i/>
          <w:sz w:val="24"/>
          <w:szCs w:val="24"/>
          <w:highlight w:val="white"/>
        </w:rPr>
        <w:t>A Blueprint for Changemakers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 is a guide for people who have seen what inequality looks like and are ready for a new approach that gives everyone a fair chance to live a healthy life. The executive summary and complete report are available at </w:t>
      </w:r>
      <w:hyperlink r:id="rId6">
        <w:r>
          <w:rPr>
            <w:rFonts w:ascii="Century Gothic" w:eastAsia="Century Gothic" w:hAnsi="Century Gothic" w:cs="Century Gothic"/>
            <w:sz w:val="24"/>
            <w:szCs w:val="24"/>
            <w:u w:val="single"/>
          </w:rPr>
          <w:t>http://changelabsolutions.org/blueprint</w:t>
        </w:r>
      </w:hyperlink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.</w:t>
      </w:r>
    </w:p>
    <w:p w:rsidR="00342718" w:rsidRDefault="00342718">
      <w:pPr>
        <w:spacing w:line="360" w:lineRule="auto"/>
        <w:rPr>
          <w:rFonts w:ascii="Century Gothic" w:eastAsia="Century Gothic" w:hAnsi="Century Gothic" w:cs="Century Gothic"/>
        </w:rPr>
      </w:pPr>
    </w:p>
    <w:sectPr w:rsidR="003427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90" w:rsidRDefault="00357590">
      <w:pPr>
        <w:spacing w:line="240" w:lineRule="auto"/>
      </w:pPr>
      <w:r>
        <w:separator/>
      </w:r>
    </w:p>
  </w:endnote>
  <w:endnote w:type="continuationSeparator" w:id="0">
    <w:p w:rsidR="00357590" w:rsidRDefault="0035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718" w:rsidRDefault="00081D37">
    <w:pPr>
      <w:jc w:val="right"/>
    </w:pPr>
    <w:r>
      <w:fldChar w:fldCharType="begin"/>
    </w:r>
    <w:r>
      <w:instrText>PAGE</w:instrText>
    </w:r>
    <w:r>
      <w:fldChar w:fldCharType="separate"/>
    </w:r>
    <w:r w:rsidR="00C32A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90" w:rsidRDefault="00357590">
      <w:pPr>
        <w:spacing w:line="240" w:lineRule="auto"/>
      </w:pPr>
      <w:r>
        <w:separator/>
      </w:r>
    </w:p>
  </w:footnote>
  <w:footnote w:type="continuationSeparator" w:id="0">
    <w:p w:rsidR="00357590" w:rsidRDefault="0035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718" w:rsidRDefault="00081D37">
    <w:pPr>
      <w:jc w:val="right"/>
    </w:pPr>
    <w:r>
      <w:rPr>
        <w:rFonts w:ascii="Calibri" w:eastAsia="Calibri" w:hAnsi="Calibri" w:cs="Calibri"/>
        <w:b/>
        <w:noProof/>
        <w:sz w:val="28"/>
        <w:szCs w:val="28"/>
        <w:highlight w:val="white"/>
        <w:u w:val="single"/>
      </w:rPr>
      <w:drawing>
        <wp:inline distT="114300" distB="114300" distL="114300" distR="114300">
          <wp:extent cx="1757363" cy="4807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363" cy="4807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718"/>
    <w:rsid w:val="00081D37"/>
    <w:rsid w:val="00342718"/>
    <w:rsid w:val="00357590"/>
    <w:rsid w:val="00C32AAD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9EEA7"/>
  <w15:docId w15:val="{1C7A05E9-00D5-F74C-B54E-5C53407D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ngelabsolutions.org/bluepri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Jaclyn De Bonis</cp:lastModifiedBy>
  <cp:revision>3</cp:revision>
  <dcterms:created xsi:type="dcterms:W3CDTF">2019-03-27T21:53:00Z</dcterms:created>
  <dcterms:modified xsi:type="dcterms:W3CDTF">2019-03-28T14:03:00Z</dcterms:modified>
</cp:coreProperties>
</file>