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u w:val="single"/>
          <w:rtl w:val="0"/>
        </w:rPr>
        <w:t xml:space="preserve">TO PROMOTE THE BLUEPRINT ITSELF, AFTER APRIL 2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entury Gothic" w:cs="Century Gothic" w:eastAsia="Century Gothic" w:hAnsi="Century Gothic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highlight w:val="white"/>
          <w:rtl w:val="0"/>
        </w:rPr>
        <w:t xml:space="preserve">Email Promotion of the Blueprint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 Gothic" w:cs="Century Gothic" w:eastAsia="Century Gothic" w:hAnsi="Century Gothic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highlight w:val="white"/>
          <w:rtl w:val="0"/>
        </w:rPr>
        <w:t xml:space="preserve">Once released, this language can be used by partners to share the Blueprint with their networks via email: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 Gothic" w:cs="Century Gothic" w:eastAsia="Century Gothic" w:hAnsi="Century Gothic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highlight w:val="white"/>
          <w:rtl w:val="0"/>
        </w:rPr>
        <w:t xml:space="preserve">Subject Line: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New Report: A Blueprint for Changemakers: Achieving Health Equity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Today, ChangeLab Solutions and the Robert Wood Johnson Foundation released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i w:val="1"/>
            <w:sz w:val="24"/>
            <w:szCs w:val="24"/>
            <w:highlight w:val="white"/>
            <w:u w:val="single"/>
            <w:rtl w:val="0"/>
          </w:rPr>
          <w:t xml:space="preserve"> A Blueprint for Changemakers: Achieving Health Equity Through Law &amp; Policy</w:t>
        </w:r>
      </w:hyperlink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a new guide to help communities advance a local agenda to ensure that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everyone has the opportunity to be healthy.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A Blueprint for Changemakers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provides evidence-based policy tools and legal strategies that can help policymakers, practitioners, and communities transform unjust practices that have led to health disparities, such as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establishing land-use planning and housing regulations to promote racially and economically mixed neighborhoods;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funding subsidized preschool for children from low-income families to provide a foundation for success in school and in life; and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investing in food systems and transportation networks to improve neighborhood value, while protecting against displacement.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This guide also outlines ways to leverage the unique power and efficacy of local policy solutions, incorporate health in all policies, and engage diverse community members in the policy process.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Blueprint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is a valuable resource for people who have seen what inequality looks like and are ready for a new approach that gives everyone a fair chance to live a healthy life. The executive summary and complete report are available at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u w:val="single"/>
            <w:rtl w:val="0"/>
          </w:rPr>
          <w:t xml:space="preserve">http://changelabsolutions.org/blueprint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 Feel free to use this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highlight w:val="white"/>
            <w:u w:val="single"/>
            <w:rtl w:val="0"/>
          </w:rPr>
          <w:t xml:space="preserve">toolkit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 to help share the report.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highlight w:val="white"/>
        <w:u w:val="single"/>
      </w:rPr>
      <w:drawing>
        <wp:inline distB="114300" distT="114300" distL="114300" distR="114300">
          <wp:extent cx="1757363" cy="4807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4807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changelabsolutions.org/blueprint" TargetMode="External"/><Relationship Id="rId7" Type="http://schemas.openxmlformats.org/officeDocument/2006/relationships/hyperlink" Target="http://changelabsolutions.org/blueprint" TargetMode="External"/><Relationship Id="rId8" Type="http://schemas.openxmlformats.org/officeDocument/2006/relationships/hyperlink" Target="http://healthequityblueprint.nptoolki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